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"https://www.temi.com/editor/t/XtezPr6ipxYfyDWw3QJfz7osjtnGmegASCi0QQafrHcwu_zaaTnLu2Yo-DeSN_PWKSshbmYZ-RL_DeGG_QQxGhskMYE?loadFrom=DocumentDeeplink&amp;ts=2.51"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idyllic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bobcats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Arielle.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"https://www.temi.com/editor/t/XtezPr6ipxYfyDWw3QJfz7osjtnGmegASCi0QQafrHcwu_zaaTnLu2Yo-DeSN_PWKSshbmYZ-RL_DeGG_QQxGhskMYE?loadFrom=DocumentDeeplink&amp;ts=33.88"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"https://www.temi.com/editor/t/XtezPr6ipxYfyDWw3QJfz7osjtnGmegASCi0QQafrHcwu_zaaTnLu2Yo-DeSN_PWKSshbmYZ-RL_DeGG_QQxGhskMYE?loadFrom=DocumentDeeplink&amp;ts=35.2"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suburbia?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"https://www.temi.com/editor/t/XtezPr6ipxYfyDWw3QJfz7osjtnGmegASCi0QQafrHcwu_zaaTnLu2Yo-DeSN_PWKSshbmYZ-RL_DeGG_QQxGhskMYE?loadFrom=DocumentDeeplink&amp;ts=48.34"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backyards.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"https://www.temi.com/editor/t/XtezPr6ipxYfyDWw3QJfz7osjtnGmegASCi0QQafrHcwu_zaaTnLu2Yo-DeSN_PWKSshbmYZ-RL_DeGG_QQxGhskMYE?loadFrom=DocumentDeeplink&amp;ts=82.9"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"https://www.temi.com/editor/t/XtezPr6ipxYfyDWw3QJfz7osjtnGmegASCi0QQafrHcwu_zaaTnLu2Yo-DeSN_PWKSshbmYZ-RL_DeGG_QQxGhskMYE?loadFrom=DocumentDeeplink&amp;ts=91.81"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mammalian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"https://www.temi.com/editor/t/XtezPr6ipxYfyDWw3QJfz7osjtnGmegASCi0QQafrHcwu_zaaTnLu2Yo-DeSN_PWKSshbmYZ-RL_DeGG_QQxGhskMYE?loadFrom=DocumentDeeplink&amp;ts=133.841"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"https://www.temi.com/editor/t/XtezPr6ipxYfyDWw3QJfz7osjtnGmegASCi0QQafrHcwu_zaaTnLu2Yo-DeSN_PWKSshbmYZ-RL_DeGG_QQxGhskMYE?loadFrom=DocumentDeeplink&amp;ts=136.521"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mammals.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chipmunk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shrews,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"https://www.temi.com/editor/t/XtezPr6ipxYfyDWw3QJfz7osjtnGmegASCi0QQafrHcwu_zaaTnLu2Yo-DeSN_PWKSshbmYZ-RL_DeGG_QQxGhskMYE?loadFrom=DocumentDeeplink&amp;ts=148.6"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"https://www.temi.com/editor/t/XtezPr6ipxYfyDWw3QJfz7osjtnGmegASCi0QQafrHcwu_zaaTnLu2Yo-DeSN_PWKSshbmYZ-RL_DeGG_QQxGhskMYE?loadFrom=DocumentDeeplink&amp;ts=153.911"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"https://www.temi.com/editor/t/XtezPr6ipxYfyDWw3QJfz7osjtnGmegASCi0QQafrHcwu_zaaTnLu2Yo-DeSN_PWKSshbmYZ-RL_DeGG_QQxGhskMYE?loadFrom=DocumentDeeplink&amp;ts=165.04"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"https://www.temi.com/editor/t/XtezPr6ipxYfyDWw3QJfz7osjtnGmegASCi0QQafrHcwu_zaaTnLu2Yo-DeSN_PWKSshbmYZ-RL_DeGG_QQxGhskMYE?loadFrom=DocumentDeeplink&amp;ts=181.06"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ecologists,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disturbing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"https://www.temi.com/editor/t/XtezPr6ipxYfyDWw3QJfz7osjtnGmegASCi0QQafrHcwu_zaaTnLu2Yo-DeSN_PWKSshbmYZ-RL_DeGG_QQxGhskMYE?loadFrom=DocumentDeeplink&amp;ts=278.56"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"https://www.temi.com/editor/t/XtezPr6ipxYfyDWw3QJfz7osjtnGmegASCi0QQafrHcwu_zaaTnLu2Yo-DeSN_PWKSshbmYZ-RL_DeGG_QQxGhskMYE?loadFrom=DocumentDeeplink&amp;ts=294.97"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1,450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urbanization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kilometer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kilometer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Uwharrie,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Weymouth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"https://www.temi.com/editor/t/XtezPr6ipxYfyDWw3QJfz7osjtnGmegASCi0QQafrHcwu_zaaTnLu2Yo-DeSN_PWKSshbmYZ-RL_DeGG_QQxGhskMYE?loadFrom=DocumentDeeplink&amp;ts=366.32"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exurbia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exurbia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uninhabited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"https://www.temi.com/editor/t/XtezPr6ipxYfyDWw3QJfz7osjtnGmegASCi0QQafrHcwu_zaaTnLu2Yo-DeSN_PWKSshbmYZ-RL_DeGG_QQxGhskMYE?loadFrom=DocumentDeeplink&amp;ts=381.26"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urban,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kilometer.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kilometer.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kilometer.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kilometer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"https://www.temi.com/editor/t/XtezPr6ipxYfyDWw3QJfz7osjtnGmegASCi0QQafrHcwu_zaaTnLu2Yo-DeSN_PWKSshbmYZ-RL_DeGG_QQxGhskMYE?loadFrom=DocumentDeeplink&amp;ts=419.21"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"https://www.temi.com/editor/t/XtezPr6ipxYfyDWw3QJfz7osjtnGmegASCi0QQafrHcwu_zaaTnLu2Yo-DeSN_PWKSshbmYZ-RL_DeGG_QQxGhskMYE?loadFrom=DocumentDeeplink&amp;ts=423.38"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snapshot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1,450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"https://www.temi.com/editor/t/XtezPr6ipxYfyDWw3QJfz7osjtnGmegASCi0QQafrHcwu_zaaTnLu2Yo-DeSN_PWKSshbmYZ-RL_DeGG_QQxGhskMYE?loadFrom=DocumentDeeplink&amp;ts=448.94"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backyards?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"https://www.temi.com/editor/t/XtezPr6ipxYfyDWw3QJfz7osjtnGmegASCi0QQafrHcwu_zaaTnLu2Yo-DeSN_PWKSshbmYZ-RL_DeGG_QQxGhskMYE?loadFrom=DocumentDeeplink&amp;ts=455.33"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squirrels,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squirrel,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raccoons,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possums.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Woodchuck.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woodchucks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bobcat's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bobcats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Raleigh?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bobcats.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bobcats,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backyards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"https://www.temi.com/editor/t/XtezPr6ipxYfyDWw3QJfz7osjtnGmegASCi0QQafrHcwu_zaaTnLu2Yo-DeSN_PWKSshbmYZ-RL_DeGG_QQxGhskMYE?loadFrom=DocumentDeeplink&amp;ts=554.49"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backyard,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prevalence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"https://www.temi.com/editor/t/XtezPr6ipxYfyDWw3QJfz7osjtnGmegASCi0QQafrHcwu_zaaTnLu2Yo-DeSN_PWKSshbmYZ-RL_DeGG_QQxGhskMYE?loadFrom=DocumentDeeplink&amp;ts=565.92"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"https://www.temi.com/editor/t/XtezPr6ipxYfyDWw3QJfz7osjtnGmegASCi0QQafrHcwu_zaaTnLu2Yo-DeSN_PWKSshbmYZ-RL_DeGG_QQxGhskMYE?loadFrom=DocumentDeeplink&amp;ts=587.34"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sprawl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"https://www.temi.com/editor/t/XtezPr6ipxYfyDWw3QJfz7osjtnGmegASCi0QQafrHcwu_zaaTnLu2Yo-DeSN_PWKSshbmYZ-RL_DeGG_QQxGhskMYE?loadFrom=DocumentDeeplink&amp;ts=601.32"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interbred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amalgamation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shepherd,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"https://www.temi.com/editor/t/XtezPr6ipxYfyDWw3QJfz7osjtnGmegASCi0QQafrHcwu_zaaTnLu2Yo-DeSN_PWKSshbmYZ-RL_DeGG_QQxGhskMYE?loadFrom=DocumentDeeplink&amp;ts=693.6"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AKC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habitats?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"https://www.temi.com/editor/t/XtezPr6ipxYfyDWw3QJfz7osjtnGmegASCi0QQafrHcwu_zaaTnLu2Yo-DeSN_PWKSshbmYZ-RL_DeGG_QQxGhskMYE?loadFrom=DocumentDeeplink&amp;ts=711.75"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raccoons,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urbanization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raccoons,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possums.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"https://www.temi.com/editor/t/XtezPr6ipxYfyDWw3QJfz7osjtnGmegASCi0QQafrHcwu_zaaTnLu2Yo-DeSN_PWKSshbmYZ-RL_DeGG_QQxGhskMYE?loadFrom=DocumentDeeplink&amp;ts=819.64"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raccoons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"https://www.temi.com/editor/t/XtezPr6ipxYfyDWw3QJfz7osjtnGmegASCi0QQafrHcwu_zaaTnLu2Yo-DeSN_PWKSshbmYZ-RL_DeGG_QQxGhskMYE?loadFrom=DocumentDeeplink&amp;ts=838.37"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weasels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carnivorous.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bobcat.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carnivorous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raccoon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"https://www.temi.com/editor/t/XtezPr6ipxYfyDWw3QJfz7osjtnGmegASCi0QQafrHcwu_zaaTnLu2Yo-DeSN_PWKSshbmYZ-RL_DeGG_QQxGhskMYE?loadFrom=DocumentDeeplink&amp;ts=874.3"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"https://www.temi.com/editor/t/XtezPr6ipxYfyDWw3QJfz7osjtnGmegASCi0QQafrHcwu_zaaTnLu2Yo-DeSN_PWKSshbmYZ-RL_DeGG_QQxGhskMYE?loadFrom=DocumentDeeplink&amp;ts=896.99"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outlier?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"https://www.temi.com/editor/t/XtezPr6ipxYfyDWw3QJfz7osjtnGmegASCi0QQafrHcwu_zaaTnLu2Yo-DeSN_PWKSshbmYZ-RL_DeGG_QQxGhskMYE?loadFrom=DocumentDeeplink&amp;ts=919.46"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excerpt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outskirts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Piedmont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Asheville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exurban,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bobcats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"https://www.temi.com/editor/t/XtezPr6ipxYfyDWw3QJfz7osjtnGmegASCi0QQafrHcwu_zaaTnLu2Yo-DeSN_PWKSshbmYZ-RL_DeGG_QQxGhskMYE?loadFrom=DocumentDeeplink&amp;ts=1001.56"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disturbing.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"https://www.temi.com/editor/t/XtezPr6ipxYfyDWw3QJfz7osjtnGmegASCi0QQafrHcwu_zaaTnLu2Yo-DeSN_PWKSshbmYZ-RL_DeGG_QQxGhskMYE?loadFrom=DocumentDeeplink&amp;ts=1018.46"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bobcat's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Raleigh,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urbanization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"https://www.temi.com/editor/t/XtezPr6ipxYfyDWw3QJfz7osjtnGmegASCi0QQafrHcwu_zaaTnLu2Yo-DeSN_PWKSshbmYZ-RL_DeGG_QQxGhskMYE?loadFrom=DocumentDeeplink&amp;ts=1099.89"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dweller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raccoon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precautions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"https://www.temi.com/editor/t/XtezPr6ipxYfyDWw3QJfz7osjtnGmegASCi0QQafrHcwu_zaaTnLu2Yo-DeSN_PWKSshbmYZ-RL_DeGG_QQxGhskMYE?loadFrom=DocumentDeeplink&amp;ts=1127.03"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raccoon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raccoon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raccoon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raccoon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"https://www.temi.com/editor/t/XtezPr6ipxYfyDWw3QJfz7osjtnGmegASCi0QQafrHcwu_zaaTnLu2Yo-DeSN_PWKSshbmYZ-RL_DeGG_QQxGhskMYE?loadFrom=DocumentDeeplink&amp;ts=1213.28"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"https://www.temi.com/editor/t/XtezPr6ipxYfyDWw3QJfz7osjtnGmegASCi0QQafrHcwu_zaaTnLu2Yo-DeSN_PWKSshbmYZ-RL_DeGG_QQxGhskMYE?loadFrom=DocumentDeeplink&amp;ts=1217.46"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urbanization.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backyard.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tolerant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"https://www.temi.com/editor/t/XtezPr6ipxYfyDWw3QJfz7osjtnGmegASCi0QQafrHcwu_zaaTnLu2Yo-DeSN_PWKSshbmYZ-RL_DeGG_QQxGhskMYE?loadFrom=DocumentDeeplink&amp;ts=1262.86"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squeezed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"https://www.temi.com/editor/t/XtezPr6ipxYfyDWw3QJfz7osjtnGmegASCi0QQafrHcwu_zaaTnLu2Yo-DeSN_PWKSshbmYZ-RL_DeGG_QQxGhskMYE?loadFrom=DocumentDeeplink&amp;ts=1269.82"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squirrels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tolerant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shielding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"https://www.temi.com/editor/t/XtezPr6ipxYfyDWw3QJfz7osjtnGmegASCi0QQafrHcwu_zaaTnLu2Yo-DeSN_PWKSshbmYZ-RL_DeGG_QQxGhskMYE?loadFrom=DocumentDeeplink&amp;ts=1302.97"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"https://www.temi.com/editor/t/XtezPr6ipxYfyDWw3QJfz7osjtnGmegASCi0QQafrHcwu_zaaTnLu2Yo-DeSN_PWKSshbmYZ-RL_DeGG_QQxGhskMYE?loadFrom=DocumentDeeplink&amp;ts=1307.32"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"https://www.temi.com/editor/t/XtezPr6ipxYfyDWw3QJfz7osjtnGmegASCi0QQafrHcwu_zaaTnLu2Yo-DeSN_PWKSshbmYZ-RL_DeGG_QQxGhskMYE?loadFrom=DocumentDeeplink&amp;ts=1343.53"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"https://www.temi.com/editor/t/XtezPr6ipxYfyDWw3QJfz7osjtnGmegASCi0QQafrHcwu_zaaTnLu2Yo-DeSN_PWKSshbmYZ-RL_DeGG_QQxGhskMYE?loadFrom=DocumentDeeplink&amp;ts=1348.061"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"https://www.temi.com/editor/t/XtezPr6ipxYfyDWw3QJfz7osjtnGmegASCi0QQafrHcwu_zaaTnLu2Yo-DeSN_PWKSshbmYZ-RL_DeGG_QQxGhskMYE?loadFrom=DocumentDeeplink&amp;ts=1356.76"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"https://www.temi.com/editor/t/XtezPr6ipxYfyDWw3QJfz7osjtnGmegASCi0QQafrHcwu_zaaTnLu2Yo-DeSN_PWKSshbmYZ-RL_DeGG_QQxGhskMYE?loadFrom=DocumentDeeplink&amp;ts=1368.25"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"https://www.temi.com/editor/t/XtezPr6ipxYfyDWw3QJfz7osjtnGmegASCi0QQafrHcwu_zaaTnLu2Yo-DeSN_PWKSshbmYZ-RL_DeGG_QQxGhskMYE?loadFrom=DocumentDeeplink&amp;ts=1390.06"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suburbia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